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pStyle w:val="Heading1"/>
        <w:spacing w:before="0" w:beforeAutospacing="0" w:after="0" w:afterAutospacing="0"/>
        <w:rPr>
          <w:rFonts w:ascii="Georgia" w:eastAsia="Times New Roman" w:hAnsi="Georgia"/>
          <w:b w:val="0"/>
          <w:bCs w:val="0"/>
          <w:sz w:val="36"/>
          <w:szCs w:val="36"/>
        </w:rPr>
      </w:pPr>
      <w:r>
        <w:rPr>
          <w:rFonts w:ascii="Georgia" w:eastAsia="Times New Roman" w:hAnsi="Georgia"/>
          <w:b w:val="0"/>
          <w:bCs w:val="0"/>
          <w:sz w:val="36"/>
          <w:szCs w:val="36"/>
        </w:rPr>
        <w:t>Tips for Young Lawyers at Mediation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999999"/>
          <w:sz w:val="17"/>
          <w:szCs w:val="17"/>
        </w:rPr>
        <w:t>By Celeste R. Coco-Ewing and Maria-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Vittoria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"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Giugi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" 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Carminati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– May 30, 2014</w:t>
      </w: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The starting point for a successful mediation is preparation. Knowing your client’s goals and the strengths and weakness of your case are just a few of the things to consider in preparing for the mediation. Although each case presents unique considerations, you and your client should go through the following points during your preparation:</w:t>
      </w: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1. What are your client’s goals in the litigation?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2. What are the strengths and weaknesses of your case? Be sure to consider the opposing side’s view of the case: What is wrong with it?  What is right with it?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3. What facts and legal issues do both sides agree or disagree on?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4. What points (1) </w:t>
      </w:r>
      <w:r>
        <w:rPr>
          <w:rStyle w:val="Emphasis"/>
          <w:rFonts w:ascii="Arial" w:eastAsia="Times New Roman" w:hAnsi="Arial" w:cs="Arial"/>
          <w:color w:val="333333"/>
        </w:rPr>
        <w:t>can</w:t>
      </w:r>
      <w:r>
        <w:rPr>
          <w:rFonts w:ascii="Arial" w:eastAsia="Times New Roman" w:hAnsi="Arial" w:cs="Arial"/>
          <w:color w:val="333333"/>
        </w:rPr>
        <w:t> you concede in the settlement conference and (2) </w:t>
      </w:r>
      <w:r>
        <w:rPr>
          <w:rStyle w:val="Emphasis"/>
          <w:rFonts w:ascii="Arial" w:eastAsia="Times New Roman" w:hAnsi="Arial" w:cs="Arial"/>
          <w:color w:val="333333"/>
        </w:rPr>
        <w:t>cannot</w:t>
      </w:r>
      <w:r>
        <w:rPr>
          <w:rFonts w:ascii="Arial" w:eastAsia="Times New Roman" w:hAnsi="Arial" w:cs="Arial"/>
          <w:color w:val="333333"/>
        </w:rPr>
        <w:t> be conceded in the conference?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5. Do pending or prospective motions (for example, motions for summary judgment or motions to compel) make it more or less desirable to settle now?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6. Do deadlines make it more or less desirable to settle now?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7. What are estimates of potential damages? Is nonmonetary relief at issue?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8. Is your client prepared to take this case through trial?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9. What is the downside risk to your client?  To the opposing party?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10. How much is your client willing to pay or accept to settle case?</w:t>
      </w: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Beyond these points, once you have reached an agreement with the other side, you will have to draft a settlement agreement. In that agreement, don’t forget to:  </w:t>
      </w: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Solidify payment terms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a. When will payment be made? </w:t>
      </w:r>
      <w:r>
        <w:rPr>
          <w:rStyle w:val="Strong"/>
          <w:rFonts w:ascii="Arial" w:eastAsia="Times New Roman" w:hAnsi="Arial" w:cs="Arial"/>
          <w:color w:val="333333"/>
        </w:rPr>
        <w:t>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b. Will the payment be by lump sum or installments?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c. Will the payment include attorney fees?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d. Will the payment be a structured settlement?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e. How will the payments be treated for tax purposes?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Consider the breadth and scope of the release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a. Will it be a one-way release or mutual?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b. Will it include a covenant not to sue?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Consider confidentiality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a. Do you need it?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b. If so, what should be designated as confidential and what are the ramifications for disclosure?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c. How much is it worth to your client? To your opponent?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>d. Are you willing to give up confidentiality in exchange for more favorable settlement terms?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Memorialize the agreement in writing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a. Does you jurisdiction require it?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b. Does it need anything in particular to be binding?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c. What have other parties used to invalidate settlement agreements, and have they been successful? You don’t want the deal to fall through because of an oversight.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Ensure that the court retains jurisdiction to enforce the settlement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a. Do you need agreement of the parties? 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b. Will the court issue an order dismissing the case and preserving its jurisdiction to enforce the settlement agreement?</w:t>
      </w: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Keywords:</w:t>
      </w:r>
      <w:r>
        <w:rPr>
          <w:rFonts w:ascii="Arial" w:eastAsia="Times New Roman" w:hAnsi="Arial" w:cs="Arial"/>
          <w:color w:val="333333"/>
        </w:rPr>
        <w:t> litigation, commercial, business, mediation, settlement agreement, payment terms, confidentiality, jurisdiction</w:t>
      </w:r>
    </w:p>
    <w:p w:rsidR="00BA685A" w:rsidRDefault="00BA685A" w:rsidP="00BA685A">
      <w:pPr>
        <w:rPr>
          <w:rFonts w:eastAsia="Times New Roman"/>
        </w:rPr>
      </w:pPr>
    </w:p>
    <w:p w:rsidR="00BA685A" w:rsidRDefault="00BA685A" w:rsidP="00BA685A">
      <w:pPr>
        <w:spacing w:line="255" w:lineRule="atLeast"/>
        <w:rPr>
          <w:rFonts w:ascii="Arial" w:eastAsia="Times New Roman" w:hAnsi="Arial" w:cs="Arial"/>
          <w:color w:val="333333"/>
        </w:rPr>
      </w:pPr>
      <w:hyperlink r:id="rId4" w:tgtFrame="_blank" w:history="1"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>Celeste R. Coco-Ewing</w:t>
        </w:r>
      </w:hyperlink>
      <w:r>
        <w:rPr>
          <w:rFonts w:ascii="Arial" w:eastAsia="Times New Roman" w:hAnsi="Arial" w:cs="Arial"/>
          <w:color w:val="999999"/>
          <w:sz w:val="17"/>
          <w:szCs w:val="17"/>
        </w:rPr>
        <w:t xml:space="preserve"> is a member at 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Barrasso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Usdin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Kupperman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Freeman &amp; Sarver, L.L.C., in New Orleans, Louisiana, and </w:t>
      </w:r>
      <w:hyperlink r:id="rId5" w:tgtFrame="_blank" w:history="1"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>Maria-</w:t>
        </w:r>
        <w:proofErr w:type="spellStart"/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>Vittoria</w:t>
        </w:r>
        <w:proofErr w:type="spellEnd"/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 xml:space="preserve"> “</w:t>
        </w:r>
        <w:proofErr w:type="spellStart"/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>Giugi</w:t>
        </w:r>
        <w:proofErr w:type="spellEnd"/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 xml:space="preserve">” </w:t>
        </w:r>
        <w:proofErr w:type="spellStart"/>
        <w:r>
          <w:rPr>
            <w:rStyle w:val="Hyperlink"/>
            <w:rFonts w:ascii="Arial" w:eastAsia="Times New Roman" w:hAnsi="Arial" w:cs="Arial"/>
            <w:color w:val="000099"/>
            <w:sz w:val="17"/>
            <w:szCs w:val="17"/>
          </w:rPr>
          <w:t>Carminati</w:t>
        </w:r>
        <w:proofErr w:type="spellEnd"/>
      </w:hyperlink>
      <w:r>
        <w:rPr>
          <w:rFonts w:ascii="Arial" w:eastAsia="Times New Roman" w:hAnsi="Arial" w:cs="Arial"/>
          <w:color w:val="999999"/>
          <w:sz w:val="17"/>
          <w:szCs w:val="17"/>
        </w:rPr>
        <w:t xml:space="preserve"> is an associate at Berg &amp; </w:t>
      </w:r>
      <w:proofErr w:type="spellStart"/>
      <w:r>
        <w:rPr>
          <w:rFonts w:ascii="Arial" w:eastAsia="Times New Roman" w:hAnsi="Arial" w:cs="Arial"/>
          <w:color w:val="999999"/>
          <w:sz w:val="17"/>
          <w:szCs w:val="17"/>
        </w:rPr>
        <w:t>Androphy</w:t>
      </w:r>
      <w:proofErr w:type="spellEnd"/>
      <w:r>
        <w:rPr>
          <w:rFonts w:ascii="Arial" w:eastAsia="Times New Roman" w:hAnsi="Arial" w:cs="Arial"/>
          <w:color w:val="999999"/>
          <w:sz w:val="17"/>
          <w:szCs w:val="17"/>
        </w:rPr>
        <w:t xml:space="preserve"> in Houston, Texas. Both volunteer as editors of the ABA Section of Litigation’s Commercial &amp; Business Litigation Committee e-newsletter.</w:t>
      </w:r>
    </w:p>
    <w:p w:rsidR="00B4406B" w:rsidRDefault="00B4406B">
      <w:bookmarkStart w:id="0" w:name="_GoBack"/>
      <w:bookmarkEnd w:id="0"/>
    </w:p>
    <w:sectPr w:rsidR="00B4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5A"/>
    <w:rsid w:val="00B4406B"/>
    <w:rsid w:val="00B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258F3-30FF-41A4-91C8-66C5151B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6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85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68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685A"/>
    <w:rPr>
      <w:i/>
      <w:iCs/>
    </w:rPr>
  </w:style>
  <w:style w:type="character" w:styleId="Strong">
    <w:name w:val="Strong"/>
    <w:basedOn w:val="DefaultParagraphFont"/>
    <w:uiPriority w:val="22"/>
    <w:qFormat/>
    <w:rsid w:val="00BA6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firm.com/profiles/carminati.html" TargetMode="External"/><Relationship Id="rId4" Type="http://schemas.openxmlformats.org/officeDocument/2006/relationships/hyperlink" Target="http://www.barrassousdin.com/attorney_detail.php?detail=1&amp;attorney_id=59&amp;name=Celeste+Coco-Ew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</dc:creator>
  <cp:keywords/>
  <dc:description/>
  <cp:lastModifiedBy>ABF</cp:lastModifiedBy>
  <cp:revision>1</cp:revision>
  <dcterms:created xsi:type="dcterms:W3CDTF">2014-10-20T20:44:00Z</dcterms:created>
  <dcterms:modified xsi:type="dcterms:W3CDTF">2014-10-20T20:52:00Z</dcterms:modified>
</cp:coreProperties>
</file>